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CA" w:rsidRPr="001561CA" w:rsidRDefault="001561CA" w:rsidP="001561CA">
      <w:pPr>
        <w:jc w:val="right"/>
        <w:rPr>
          <w:b/>
          <w:lang w:val="es-ES_tradnl"/>
        </w:rPr>
      </w:pPr>
      <w:r w:rsidRPr="001561CA">
        <w:rPr>
          <w:b/>
          <w:lang w:val="es-ES_tradnl"/>
        </w:rPr>
        <w:t>ANEXO V</w:t>
      </w:r>
    </w:p>
    <w:p w:rsidR="001561CA" w:rsidRPr="001561CA" w:rsidRDefault="001561CA" w:rsidP="001561CA">
      <w:pPr>
        <w:jc w:val="center"/>
        <w:rPr>
          <w:b/>
        </w:rPr>
      </w:pPr>
      <w:r w:rsidRPr="001561CA">
        <w:rPr>
          <w:b/>
        </w:rPr>
        <w:t>MODELO PLANILLA DE COTIZACIÓN (Sobre Económico)</w:t>
      </w:r>
    </w:p>
    <w:p w:rsidR="001561CA" w:rsidRPr="001561CA" w:rsidRDefault="001561CA" w:rsidP="001561CA">
      <w:pPr>
        <w:jc w:val="center"/>
        <w:rPr>
          <w:b/>
        </w:rPr>
      </w:pPr>
      <w:r w:rsidRPr="001561CA">
        <w:rPr>
          <w:b/>
        </w:rPr>
        <w:t>Licitación Privada Nº 16/2019</w:t>
      </w:r>
    </w:p>
    <w:tbl>
      <w:tblPr>
        <w:tblW w:w="10569" w:type="dxa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2749"/>
        <w:gridCol w:w="1618"/>
        <w:gridCol w:w="1459"/>
        <w:gridCol w:w="2264"/>
      </w:tblGrid>
      <w:tr w:rsidR="001561CA" w:rsidRPr="001561CA" w:rsidTr="00887DE3">
        <w:trPr>
          <w:cantSplit/>
          <w:trHeight w:val="480"/>
        </w:trPr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  <w:vAlign w:val="center"/>
          </w:tcPr>
          <w:p w:rsidR="001561CA" w:rsidRPr="001561CA" w:rsidRDefault="001561CA" w:rsidP="001561CA">
            <w:r w:rsidRPr="001561CA">
              <w:t>Renglones</w:t>
            </w:r>
          </w:p>
        </w:tc>
        <w:tc>
          <w:tcPr>
            <w:tcW w:w="2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  <w:vAlign w:val="center"/>
          </w:tcPr>
          <w:p w:rsidR="001561CA" w:rsidRPr="001561CA" w:rsidRDefault="001561CA" w:rsidP="001561CA">
            <w:r w:rsidRPr="001561CA">
              <w:t>Descripción</w:t>
            </w:r>
          </w:p>
        </w:tc>
        <w:tc>
          <w:tcPr>
            <w:tcW w:w="1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  <w:vAlign w:val="center"/>
          </w:tcPr>
          <w:p w:rsidR="001561CA" w:rsidRPr="001561CA" w:rsidRDefault="001561CA" w:rsidP="001561CA">
            <w:r w:rsidRPr="001561CA">
              <w:t xml:space="preserve">Cantidad </w:t>
            </w:r>
          </w:p>
          <w:p w:rsidR="001561CA" w:rsidRPr="001561CA" w:rsidRDefault="001561CA" w:rsidP="001561CA">
            <w:r w:rsidRPr="001561CA">
              <w:t>(indicar unidad de medida)</w:t>
            </w:r>
          </w:p>
        </w:tc>
        <w:tc>
          <w:tcPr>
            <w:tcW w:w="1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561CA" w:rsidRPr="001561CA" w:rsidRDefault="001561CA" w:rsidP="001561CA">
            <w:r w:rsidRPr="001561CA">
              <w:t>Precio  Unitario con impuesto I.V.A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561CA" w:rsidRPr="001561CA" w:rsidRDefault="001561CA" w:rsidP="001561CA">
            <w:r w:rsidRPr="001561CA">
              <w:t>Precio Total CON impuestos I.V.A</w:t>
            </w:r>
          </w:p>
        </w:tc>
      </w:tr>
      <w:tr w:rsidR="001561CA" w:rsidRPr="001561CA" w:rsidTr="00887DE3">
        <w:trPr>
          <w:cantSplit/>
          <w:trHeight w:val="450"/>
        </w:trPr>
        <w:tc>
          <w:tcPr>
            <w:tcW w:w="24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  <w:vAlign w:val="center"/>
          </w:tcPr>
          <w:p w:rsidR="001561CA" w:rsidRPr="001561CA" w:rsidRDefault="001561CA" w:rsidP="001561CA"/>
        </w:tc>
        <w:tc>
          <w:tcPr>
            <w:tcW w:w="27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  <w:vAlign w:val="center"/>
          </w:tcPr>
          <w:p w:rsidR="001561CA" w:rsidRPr="001561CA" w:rsidRDefault="001561CA" w:rsidP="001561CA"/>
        </w:tc>
        <w:tc>
          <w:tcPr>
            <w:tcW w:w="1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8496B0" w:themeFill="text2" w:themeFillTint="99"/>
            <w:vAlign w:val="center"/>
          </w:tcPr>
          <w:p w:rsidR="001561CA" w:rsidRPr="001561CA" w:rsidRDefault="001561CA" w:rsidP="001561CA"/>
        </w:tc>
        <w:tc>
          <w:tcPr>
            <w:tcW w:w="1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561CA" w:rsidRPr="001561CA" w:rsidRDefault="001561CA" w:rsidP="001561CA"/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:rsidR="001561CA" w:rsidRPr="001561CA" w:rsidRDefault="001561CA" w:rsidP="001561CA"/>
        </w:tc>
      </w:tr>
      <w:tr w:rsidR="001561CA" w:rsidRPr="001561CA" w:rsidTr="00887DE3">
        <w:trPr>
          <w:cantSplit/>
          <w:trHeight w:val="415"/>
        </w:trPr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1</w:t>
            </w:r>
            <w:r w:rsidRPr="001561CA">
              <w:rPr>
                <w:vertAlign w:val="superscript"/>
              </w:rPr>
              <w:footnoteReference w:id="1"/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61CA" w:rsidRPr="001561CA" w:rsidRDefault="001561CA" w:rsidP="001561CA">
            <w:pPr>
              <w:rPr>
                <w:vertAlign w:val="superscript"/>
              </w:rPr>
            </w:pPr>
            <w:r w:rsidRPr="001561CA">
              <w:t xml:space="preserve">Proyecto de Implementación (FASE 1) 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61CA" w:rsidRPr="001561CA" w:rsidRDefault="001561CA" w:rsidP="001561CA">
            <w:r w:rsidRPr="001561CA">
              <w:t>1 Unidad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$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$</w:t>
            </w:r>
          </w:p>
        </w:tc>
      </w:tr>
      <w:tr w:rsidR="001561CA" w:rsidRPr="001561CA" w:rsidTr="00887DE3">
        <w:trPr>
          <w:cantSplit/>
          <w:trHeight w:val="415"/>
        </w:trPr>
        <w:tc>
          <w:tcPr>
            <w:tcW w:w="247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1561CA" w:rsidRPr="001561CA" w:rsidRDefault="001561CA" w:rsidP="001561CA"/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Proyecto de Implementación (FASE 2)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61CA" w:rsidRPr="001561CA" w:rsidRDefault="001561CA" w:rsidP="001561CA">
            <w:r w:rsidRPr="001561CA">
              <w:t>1 Unidad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$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$</w:t>
            </w:r>
          </w:p>
        </w:tc>
      </w:tr>
      <w:tr w:rsidR="001561CA" w:rsidRPr="001561CA" w:rsidTr="00887DE3">
        <w:trPr>
          <w:cantSplit/>
          <w:trHeight w:val="415"/>
        </w:trPr>
        <w:tc>
          <w:tcPr>
            <w:tcW w:w="247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61CA" w:rsidRPr="001561CA" w:rsidRDefault="001561CA" w:rsidP="001561CA"/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Proyecto de Implementación (FASE 3)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61CA" w:rsidRPr="001561CA" w:rsidRDefault="001561CA" w:rsidP="001561CA">
            <w:r w:rsidRPr="001561CA">
              <w:t>1 Unidad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$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$</w:t>
            </w:r>
          </w:p>
        </w:tc>
      </w:tr>
      <w:tr w:rsidR="001561CA" w:rsidRPr="001561CA" w:rsidTr="00887DE3">
        <w:trPr>
          <w:cantSplit/>
          <w:trHeight w:val="415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2</w:t>
            </w:r>
            <w:r w:rsidRPr="001561CA">
              <w:rPr>
                <w:vertAlign w:val="superscript"/>
              </w:rPr>
              <w:footnoteReference w:id="2"/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Servicio de Mantenimiento (12 meses)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61CA" w:rsidRPr="001561CA" w:rsidRDefault="001561CA" w:rsidP="001561CA">
            <w:r w:rsidRPr="001561CA">
              <w:t>500 Horas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$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$</w:t>
            </w:r>
          </w:p>
        </w:tc>
      </w:tr>
      <w:tr w:rsidR="001561CA" w:rsidRPr="001561CA" w:rsidTr="00887DE3">
        <w:trPr>
          <w:cantSplit/>
          <w:trHeight w:val="415"/>
        </w:trPr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3</w:t>
            </w:r>
            <w:r w:rsidRPr="001561CA">
              <w:rPr>
                <w:vertAlign w:val="superscript"/>
              </w:rPr>
              <w:footnoteReference w:id="3"/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Servicio Eventual de desarrollo y programación (vigencia: 12 meses)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61CA" w:rsidRPr="001561CA" w:rsidRDefault="001561CA" w:rsidP="001561CA">
            <w:r w:rsidRPr="001561CA">
              <w:t>500 Horas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$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r w:rsidRPr="001561CA">
              <w:t>$</w:t>
            </w:r>
          </w:p>
        </w:tc>
      </w:tr>
      <w:tr w:rsidR="001561CA" w:rsidRPr="001561CA" w:rsidTr="00887DE3">
        <w:trPr>
          <w:cantSplit/>
          <w:trHeight w:val="644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pPr>
              <w:rPr>
                <w:b/>
              </w:rPr>
            </w:pPr>
            <w:r w:rsidRPr="001561CA">
              <w:rPr>
                <w:b/>
              </w:rPr>
              <w:t>ANTICIPO FINANCIERO (CON GTÍA HASTA 20% SEGÚN ART. 5° Y 21°PCP)</w:t>
            </w:r>
          </w:p>
          <w:p w:rsidR="001561CA" w:rsidRPr="001561CA" w:rsidRDefault="001561CA" w:rsidP="001561CA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pPr>
              <w:rPr>
                <w:b/>
              </w:rPr>
            </w:pPr>
          </w:p>
        </w:tc>
      </w:tr>
      <w:tr w:rsidR="001561CA" w:rsidRPr="001561CA" w:rsidTr="00887DE3">
        <w:trPr>
          <w:cantSplit/>
          <w:trHeight w:val="405"/>
        </w:trPr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pPr>
              <w:rPr>
                <w:b/>
              </w:rPr>
            </w:pPr>
            <w:r w:rsidRPr="001561CA">
              <w:rPr>
                <w:b/>
              </w:rPr>
              <w:t>Montos totales</w:t>
            </w:r>
          </w:p>
          <w:p w:rsidR="001561CA" w:rsidRPr="001561CA" w:rsidRDefault="001561CA" w:rsidP="001561CA">
            <w:pPr>
              <w:rPr>
                <w:b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CA" w:rsidRPr="001561CA" w:rsidRDefault="001561CA" w:rsidP="001561CA">
            <w:pPr>
              <w:rPr>
                <w:b/>
              </w:rPr>
            </w:pPr>
            <w:r w:rsidRPr="001561CA">
              <w:rPr>
                <w:b/>
              </w:rPr>
              <w:t>$</w:t>
            </w:r>
          </w:p>
        </w:tc>
      </w:tr>
    </w:tbl>
    <w:p w:rsidR="001561CA" w:rsidRPr="001561CA" w:rsidRDefault="001561CA" w:rsidP="001561CA">
      <w:pPr>
        <w:rPr>
          <w:b/>
        </w:rPr>
      </w:pPr>
    </w:p>
    <w:p w:rsidR="001561CA" w:rsidRPr="001561CA" w:rsidRDefault="001561CA" w:rsidP="001561CA">
      <w:r w:rsidRPr="001561CA">
        <w:rPr>
          <w:b/>
        </w:rPr>
        <w:t>Aclaraciones:</w:t>
      </w:r>
    </w:p>
    <w:p w:rsidR="001561CA" w:rsidRPr="001561CA" w:rsidRDefault="001561CA" w:rsidP="001561CA">
      <w:r w:rsidRPr="001561CA">
        <w:t xml:space="preserve">* La ejecución del renglón N° 2 y 3 se llevará a cabo mediante una Orden de Compra Abierta (punto </w:t>
      </w:r>
      <w:proofErr w:type="gramStart"/>
      <w:r w:rsidRPr="001561CA">
        <w:t>XIV.5  del</w:t>
      </w:r>
      <w:proofErr w:type="gramEnd"/>
      <w:r w:rsidRPr="001561CA">
        <w:t xml:space="preserve"> Reglamento de Compras y Contrataciones de EANA). </w:t>
      </w:r>
      <w:bookmarkStart w:id="0" w:name="_Toc20310773"/>
    </w:p>
    <w:p w:rsidR="001561CA" w:rsidRPr="001561CA" w:rsidRDefault="001561CA" w:rsidP="001561CA"/>
    <w:p w:rsidR="001561CA" w:rsidRPr="001561CA" w:rsidRDefault="001561CA" w:rsidP="001561CA">
      <w:r w:rsidRPr="001561CA">
        <w:lastRenderedPageBreak/>
        <w:t xml:space="preserve">*EANA SE </w:t>
      </w:r>
      <w:proofErr w:type="spellStart"/>
      <w:r w:rsidRPr="001561CA">
        <w:t>se</w:t>
      </w:r>
      <w:proofErr w:type="spellEnd"/>
      <w:r w:rsidRPr="001561CA">
        <w:t xml:space="preserve"> encuentra No Alcanzada al Impuesto al Valor Agregado.</w:t>
      </w:r>
    </w:p>
    <w:p w:rsidR="001561CA" w:rsidRPr="001561CA" w:rsidRDefault="001561CA" w:rsidP="001561CA">
      <w:pPr>
        <w:numPr>
          <w:ilvl w:val="0"/>
          <w:numId w:val="1"/>
        </w:numPr>
        <w:tabs>
          <w:tab w:val="num" w:pos="0"/>
        </w:tabs>
      </w:pPr>
      <w:r w:rsidRPr="001561CA">
        <w:t>SE ADMITIRÁN ÚNICAMENTE COTIZACIONES CON DOS (2) DECIMALES.</w:t>
      </w:r>
    </w:p>
    <w:p w:rsidR="001561CA" w:rsidRPr="001561CA" w:rsidRDefault="001561CA" w:rsidP="001561CA">
      <w:bookmarkStart w:id="1" w:name="_GoBack"/>
      <w:bookmarkEnd w:id="1"/>
    </w:p>
    <w:p w:rsidR="001561CA" w:rsidRPr="001561CA" w:rsidRDefault="001561CA" w:rsidP="001561CA">
      <w:r w:rsidRPr="001561CA">
        <w:t>Precio total: SON (indicar moneda, y describir el monto en letras y números): ………………………………………………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:rsidR="001561CA" w:rsidRPr="001561CA" w:rsidRDefault="001561CA" w:rsidP="001561CA">
      <w:r w:rsidRPr="001561CA">
        <w:t>Mantenimiento de la Oferta: …………………</w:t>
      </w:r>
      <w:r>
        <w:t>……………………………</w:t>
      </w:r>
      <w:proofErr w:type="gramStart"/>
      <w:r>
        <w:t>…….</w:t>
      </w:r>
      <w:proofErr w:type="gramEnd"/>
      <w:r>
        <w:t>.</w:t>
      </w:r>
    </w:p>
    <w:p w:rsidR="001561CA" w:rsidRPr="001561CA" w:rsidRDefault="001561CA" w:rsidP="001561CA">
      <w:r w:rsidRPr="001561CA">
        <w:t>Plazo de entrega/ejecución: ………………………</w:t>
      </w:r>
      <w:r>
        <w:t>……………………………….</w:t>
      </w:r>
    </w:p>
    <w:p w:rsidR="001561CA" w:rsidRDefault="001561CA" w:rsidP="001561CA">
      <w:r w:rsidRPr="001561CA">
        <w:t>Forma de Pago: …………………………………………</w:t>
      </w:r>
      <w:r>
        <w:t xml:space="preserve">……………………………….  </w:t>
      </w:r>
    </w:p>
    <w:p w:rsidR="001561CA" w:rsidRPr="001561CA" w:rsidRDefault="001561CA" w:rsidP="001561CA">
      <w:r>
        <w:t xml:space="preserve">Monto de </w:t>
      </w:r>
      <w:proofErr w:type="gramStart"/>
      <w:r>
        <w:t>anticipo:…</w:t>
      </w:r>
      <w:proofErr w:type="gramEnd"/>
      <w:r>
        <w:t>…………………………………………………………………..</w:t>
      </w:r>
    </w:p>
    <w:p w:rsidR="001561CA" w:rsidRPr="001561CA" w:rsidRDefault="001561CA" w:rsidP="001561CA"/>
    <w:p w:rsidR="001561CA" w:rsidRPr="001561CA" w:rsidRDefault="001561CA" w:rsidP="001561CA">
      <w:r w:rsidRPr="001561C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5DC59" wp14:editId="1F3326D0">
                <wp:simplePos x="0" y="0"/>
                <wp:positionH relativeFrom="margin">
                  <wp:posOffset>3752850</wp:posOffset>
                </wp:positionH>
                <wp:positionV relativeFrom="paragraph">
                  <wp:posOffset>135255</wp:posOffset>
                </wp:positionV>
                <wp:extent cx="1828800" cy="285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70E49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5.5pt,10.65pt" to="439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" strokecolor="windowText" strokeweight="1pt">
                <w10:wrap anchorx="margin"/>
              </v:line>
            </w:pict>
          </mc:Fallback>
        </mc:AlternateContent>
      </w:r>
    </w:p>
    <w:p w:rsidR="001561CA" w:rsidRPr="001561CA" w:rsidRDefault="001561CA" w:rsidP="001561CA">
      <w:pPr>
        <w:jc w:val="right"/>
      </w:pPr>
      <w:r w:rsidRPr="001561CA">
        <w:t>FIRMA DE REPRESENTANTE</w:t>
      </w:r>
    </w:p>
    <w:p w:rsidR="001561CA" w:rsidRPr="001561CA" w:rsidRDefault="001561CA" w:rsidP="001561CA">
      <w:pPr>
        <w:ind w:left="708"/>
        <w:jc w:val="right"/>
      </w:pPr>
      <w:r w:rsidRPr="001561CA">
        <w:t xml:space="preserve">                                                                                           </w:t>
      </w:r>
      <w:r>
        <w:t xml:space="preserve">       </w:t>
      </w:r>
      <w:r w:rsidRPr="001561CA">
        <w:t>LEGAL</w:t>
      </w:r>
    </w:p>
    <w:p w:rsidR="001561CA" w:rsidRPr="001561CA" w:rsidRDefault="001561CA" w:rsidP="001561CA">
      <w:pPr>
        <w:rPr>
          <w:b/>
          <w:u w:val="single"/>
          <w:lang w:val="es-ES"/>
        </w:rPr>
      </w:pPr>
      <w:r w:rsidRPr="001561CA">
        <w:rPr>
          <w:b/>
          <w:u w:val="single"/>
          <w:lang w:val="es-ES"/>
        </w:rPr>
        <w:t>CRONOGRAMA DE PAGOS</w:t>
      </w:r>
      <w:bookmarkEnd w:id="0"/>
    </w:p>
    <w:p w:rsidR="001561CA" w:rsidRPr="001561CA" w:rsidRDefault="001561CA" w:rsidP="001561CA">
      <w:pPr>
        <w:rPr>
          <w:b/>
          <w:u w:val="single"/>
          <w:lang w:val="es-ES"/>
        </w:rPr>
      </w:pPr>
    </w:p>
    <w:p w:rsidR="001561CA" w:rsidRPr="001561CA" w:rsidRDefault="001561CA" w:rsidP="001561CA">
      <w:pPr>
        <w:numPr>
          <w:ilvl w:val="1"/>
          <w:numId w:val="2"/>
        </w:numPr>
        <w:rPr>
          <w:b/>
          <w:lang w:val="es-ES"/>
        </w:rPr>
      </w:pPr>
      <w:bookmarkStart w:id="2" w:name="_Toc20310774"/>
      <w:r w:rsidRPr="001561CA">
        <w:rPr>
          <w:b/>
          <w:lang w:val="es-ES"/>
        </w:rPr>
        <w:t>Proyecto de Implementación</w:t>
      </w:r>
      <w:bookmarkEnd w:id="2"/>
    </w:p>
    <w:tbl>
      <w:tblPr>
        <w:tblW w:w="6926" w:type="dxa"/>
        <w:tblInd w:w="5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2001"/>
      </w:tblGrid>
      <w:tr w:rsidR="001561CA" w:rsidRPr="001561CA" w:rsidTr="00887DE3">
        <w:trPr>
          <w:trHeight w:val="10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A" w:rsidRPr="001561CA" w:rsidRDefault="001561CA" w:rsidP="001561CA">
            <w:pPr>
              <w:rPr>
                <w:lang w:val="es-ES_tradnl"/>
              </w:rPr>
            </w:pPr>
            <w:r w:rsidRPr="001561CA">
              <w:rPr>
                <w:b/>
                <w:bCs/>
                <w:lang w:val="es-ES_tradnl"/>
              </w:rPr>
              <w:t xml:space="preserve">HITO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A" w:rsidRPr="001561CA" w:rsidRDefault="001561CA" w:rsidP="001561CA">
            <w:pPr>
              <w:rPr>
                <w:lang w:val="es-ES_tradnl"/>
              </w:rPr>
            </w:pPr>
            <w:r w:rsidRPr="001561CA">
              <w:rPr>
                <w:b/>
                <w:bCs/>
                <w:lang w:val="es-ES_tradnl"/>
              </w:rPr>
              <w:t>%</w:t>
            </w:r>
          </w:p>
        </w:tc>
      </w:tr>
      <w:tr w:rsidR="001561CA" w:rsidRPr="001561CA" w:rsidTr="00887DE3">
        <w:trPr>
          <w:trHeight w:val="10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A" w:rsidRPr="001561CA" w:rsidRDefault="001561CA" w:rsidP="001561CA">
            <w:pPr>
              <w:rPr>
                <w:lang w:val="es-ES_tradnl"/>
              </w:rPr>
            </w:pPr>
            <w:r w:rsidRPr="001561CA">
              <w:rPr>
                <w:lang w:val="es-ES_tradnl"/>
              </w:rPr>
              <w:t xml:space="preserve">Anticipo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A" w:rsidRPr="001561CA" w:rsidRDefault="001561CA" w:rsidP="001561CA">
            <w:pPr>
              <w:rPr>
                <w:lang w:val="es-ES_tradnl"/>
              </w:rPr>
            </w:pPr>
            <w:r w:rsidRPr="001561CA">
              <w:rPr>
                <w:lang w:val="es-ES_tradnl"/>
              </w:rPr>
              <w:t>20%</w:t>
            </w:r>
          </w:p>
        </w:tc>
      </w:tr>
      <w:tr w:rsidR="001561CA" w:rsidRPr="001561CA" w:rsidTr="00887DE3">
        <w:trPr>
          <w:trHeight w:val="10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A" w:rsidRPr="001561CA" w:rsidRDefault="001561CA" w:rsidP="001561CA">
            <w:pPr>
              <w:rPr>
                <w:lang w:val="es-ES_tradnl"/>
              </w:rPr>
            </w:pPr>
            <w:r w:rsidRPr="001561CA">
              <w:rPr>
                <w:lang w:val="es-ES_tradnl"/>
              </w:rPr>
              <w:t xml:space="preserve">Fase 1 implementada en productivo y sin </w:t>
            </w:r>
            <w:proofErr w:type="spellStart"/>
            <w:r w:rsidRPr="001561CA">
              <w:rPr>
                <w:lang w:val="es-ES_tradnl"/>
              </w:rPr>
              <w:t>issues</w:t>
            </w:r>
            <w:proofErr w:type="spellEnd"/>
            <w:r w:rsidRPr="001561CA">
              <w:rPr>
                <w:lang w:val="es-ES_tradnl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A" w:rsidRPr="001561CA" w:rsidRDefault="001561CA" w:rsidP="001561CA">
            <w:pPr>
              <w:rPr>
                <w:lang w:val="es-ES_tradnl"/>
              </w:rPr>
            </w:pPr>
            <w:r w:rsidRPr="001561CA">
              <w:rPr>
                <w:lang w:val="es-ES_tradnl"/>
              </w:rPr>
              <w:t>30%</w:t>
            </w:r>
          </w:p>
        </w:tc>
      </w:tr>
      <w:tr w:rsidR="001561CA" w:rsidRPr="001561CA" w:rsidTr="00887DE3">
        <w:trPr>
          <w:trHeight w:val="10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A" w:rsidRPr="001561CA" w:rsidRDefault="001561CA" w:rsidP="001561CA">
            <w:pPr>
              <w:rPr>
                <w:lang w:val="es-ES_tradnl"/>
              </w:rPr>
            </w:pPr>
            <w:r w:rsidRPr="001561CA">
              <w:rPr>
                <w:lang w:val="es-ES_tradnl"/>
              </w:rPr>
              <w:t xml:space="preserve">Fase 2 implementada en productivo y sin </w:t>
            </w:r>
            <w:proofErr w:type="spellStart"/>
            <w:r w:rsidRPr="001561CA">
              <w:rPr>
                <w:lang w:val="es-ES_tradnl"/>
              </w:rPr>
              <w:t>issues</w:t>
            </w:r>
            <w:proofErr w:type="spellEnd"/>
            <w:r w:rsidRPr="001561CA">
              <w:rPr>
                <w:lang w:val="es-ES_tradnl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A" w:rsidRPr="001561CA" w:rsidRDefault="001561CA" w:rsidP="001561CA">
            <w:pPr>
              <w:rPr>
                <w:lang w:val="es-ES_tradnl"/>
              </w:rPr>
            </w:pPr>
            <w:r w:rsidRPr="001561CA">
              <w:rPr>
                <w:lang w:val="es-ES_tradnl"/>
              </w:rPr>
              <w:t>25%</w:t>
            </w:r>
          </w:p>
        </w:tc>
      </w:tr>
      <w:tr w:rsidR="001561CA" w:rsidRPr="001561CA" w:rsidTr="00887DE3">
        <w:trPr>
          <w:trHeight w:val="102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A" w:rsidRPr="001561CA" w:rsidRDefault="001561CA" w:rsidP="001561CA">
            <w:pPr>
              <w:rPr>
                <w:lang w:val="es-ES_tradnl"/>
              </w:rPr>
            </w:pPr>
            <w:r w:rsidRPr="001561CA">
              <w:rPr>
                <w:lang w:val="es-ES_tradnl"/>
              </w:rPr>
              <w:t xml:space="preserve">Fase 3 implementada en productivo y sin </w:t>
            </w:r>
            <w:proofErr w:type="spellStart"/>
            <w:r w:rsidRPr="001561CA">
              <w:rPr>
                <w:lang w:val="es-ES_tradnl"/>
              </w:rPr>
              <w:t>issues</w:t>
            </w:r>
            <w:proofErr w:type="spellEnd"/>
            <w:r w:rsidRPr="001561CA">
              <w:rPr>
                <w:lang w:val="es-ES_tradnl"/>
              </w:rPr>
              <w:t>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CA" w:rsidRPr="001561CA" w:rsidRDefault="001561CA" w:rsidP="001561CA">
            <w:pPr>
              <w:rPr>
                <w:lang w:val="es-ES_tradnl"/>
              </w:rPr>
            </w:pPr>
            <w:r w:rsidRPr="001561CA">
              <w:rPr>
                <w:lang w:val="es-ES_tradnl"/>
              </w:rPr>
              <w:t>25%</w:t>
            </w:r>
          </w:p>
        </w:tc>
      </w:tr>
    </w:tbl>
    <w:p w:rsidR="001561CA" w:rsidRPr="001561CA" w:rsidRDefault="001561CA" w:rsidP="001561CA">
      <w:pPr>
        <w:rPr>
          <w:lang w:val="es-ES"/>
        </w:rPr>
      </w:pPr>
    </w:p>
    <w:p w:rsidR="001561CA" w:rsidRPr="001561CA" w:rsidRDefault="001561CA" w:rsidP="001561CA">
      <w:pPr>
        <w:numPr>
          <w:ilvl w:val="1"/>
          <w:numId w:val="2"/>
        </w:numPr>
        <w:rPr>
          <w:b/>
          <w:lang w:val="es-ES"/>
        </w:rPr>
      </w:pPr>
      <w:bookmarkStart w:id="3" w:name="_Toc20310775"/>
      <w:r w:rsidRPr="001561CA">
        <w:rPr>
          <w:b/>
          <w:lang w:val="es-ES"/>
        </w:rPr>
        <w:t>Servicio de Mantenimiento</w:t>
      </w:r>
      <w:bookmarkEnd w:id="3"/>
    </w:p>
    <w:p w:rsidR="001561CA" w:rsidRPr="001561CA" w:rsidRDefault="001561CA" w:rsidP="001561CA">
      <w:pPr>
        <w:rPr>
          <w:lang w:val="es-ES"/>
        </w:rPr>
      </w:pPr>
      <w:r w:rsidRPr="001561CA">
        <w:rPr>
          <w:lang w:val="es-ES"/>
        </w:rPr>
        <w:t>Se facturarán a mes vencido las horas consumidas en el mes.</w:t>
      </w:r>
    </w:p>
    <w:p w:rsidR="001561CA" w:rsidRPr="001561CA" w:rsidRDefault="001561CA" w:rsidP="001561CA">
      <w:pPr>
        <w:rPr>
          <w:lang w:val="es-ES"/>
        </w:rPr>
      </w:pPr>
      <w:r w:rsidRPr="001561CA">
        <w:rPr>
          <w:lang w:val="es-ES"/>
        </w:rPr>
        <w:t>El inicio del servicio de mantenimiento se acordará entre ambas partes de común acuerdo. Estimativamente tendrá inicio al finalizar la fase 2.</w:t>
      </w:r>
    </w:p>
    <w:p w:rsidR="001561CA" w:rsidRPr="001561CA" w:rsidRDefault="001561CA" w:rsidP="001561CA">
      <w:pPr>
        <w:numPr>
          <w:ilvl w:val="1"/>
          <w:numId w:val="2"/>
        </w:numPr>
        <w:rPr>
          <w:b/>
          <w:lang w:val="es-ES"/>
        </w:rPr>
      </w:pPr>
      <w:bookmarkStart w:id="4" w:name="_Toc20310776"/>
      <w:r w:rsidRPr="001561CA">
        <w:rPr>
          <w:b/>
          <w:lang w:val="es-ES"/>
        </w:rPr>
        <w:t>Horas Adicionales</w:t>
      </w:r>
      <w:bookmarkEnd w:id="4"/>
    </w:p>
    <w:p w:rsidR="001561CA" w:rsidRPr="001561CA" w:rsidRDefault="001561CA" w:rsidP="001561CA">
      <w:pPr>
        <w:rPr>
          <w:lang w:val="es-ES"/>
        </w:rPr>
      </w:pPr>
      <w:r w:rsidRPr="001561CA">
        <w:rPr>
          <w:lang w:val="es-ES"/>
        </w:rPr>
        <w:t>Se facturarán a mes vencido las horas consumidas en el mes.</w:t>
      </w:r>
    </w:p>
    <w:p w:rsidR="001E0952" w:rsidRDefault="001E0952"/>
    <w:sectPr w:rsidR="001E0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81" w:rsidRDefault="00006881" w:rsidP="001561CA">
      <w:pPr>
        <w:spacing w:after="0" w:line="240" w:lineRule="auto"/>
      </w:pPr>
      <w:r>
        <w:separator/>
      </w:r>
    </w:p>
  </w:endnote>
  <w:endnote w:type="continuationSeparator" w:id="0">
    <w:p w:rsidR="00006881" w:rsidRDefault="00006881" w:rsidP="0015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81" w:rsidRDefault="00006881" w:rsidP="001561CA">
      <w:pPr>
        <w:spacing w:after="0" w:line="240" w:lineRule="auto"/>
      </w:pPr>
      <w:r>
        <w:separator/>
      </w:r>
    </w:p>
  </w:footnote>
  <w:footnote w:type="continuationSeparator" w:id="0">
    <w:p w:rsidR="00006881" w:rsidRDefault="00006881" w:rsidP="001561CA">
      <w:pPr>
        <w:spacing w:after="0" w:line="240" w:lineRule="auto"/>
      </w:pPr>
      <w:r>
        <w:continuationSeparator/>
      </w:r>
    </w:p>
  </w:footnote>
  <w:footnote w:id="1">
    <w:p w:rsidR="001561CA" w:rsidRPr="001561CA" w:rsidRDefault="001561CA" w:rsidP="001561CA">
      <w:pPr>
        <w:pStyle w:val="Textonotapie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1561CA">
        <w:rPr>
          <w:sz w:val="18"/>
          <w:szCs w:val="18"/>
        </w:rPr>
        <w:t>Cotizar el proyecto de desarrollo/implementación con todos sus costos asociados</w:t>
      </w:r>
      <w:r w:rsidRPr="001561CA">
        <w:rPr>
          <w:sz w:val="18"/>
          <w:szCs w:val="18"/>
          <w:vertAlign w:val="superscript"/>
        </w:rPr>
        <w:footnoteRef/>
      </w:r>
      <w:r w:rsidRPr="001561CA">
        <w:rPr>
          <w:sz w:val="18"/>
          <w:szCs w:val="18"/>
        </w:rPr>
        <w:t xml:space="preserve"> (fases 1, 2 y 3). Incluir todos los conceptos: Servicios de Desarrollo/Implementación, Componentes requeridos para el funcionamiento de la solución que tengan costo, Licencias requeridas, Suscripciones necesarias, Viáticos, etc. </w:t>
      </w:r>
      <w:r w:rsidRPr="001561CA">
        <w:rPr>
          <w:sz w:val="18"/>
          <w:szCs w:val="18"/>
        </w:rPr>
        <w:br/>
        <w:t>EANA no debe tener ningún costo adicional a los aquí incluidos y que fueran detallados en la arquitectura propuesta  (salvo casos naturales de licenciamiento como por ejemplo Sistema Operativo). En casos de duda, indicar con claridad de que concepto se trata y si se incluye o no en la cotización.</w:t>
      </w:r>
    </w:p>
  </w:footnote>
  <w:footnote w:id="2">
    <w:p w:rsidR="001561CA" w:rsidRPr="001561CA" w:rsidRDefault="001561CA" w:rsidP="001561CA">
      <w:pPr>
        <w:pStyle w:val="Textonotapie"/>
        <w:rPr>
          <w:sz w:val="18"/>
          <w:szCs w:val="18"/>
        </w:rPr>
      </w:pPr>
      <w:r w:rsidRPr="001561CA">
        <w:rPr>
          <w:rStyle w:val="Refdenotaalpie"/>
          <w:sz w:val="18"/>
          <w:szCs w:val="18"/>
        </w:rPr>
        <w:footnoteRef/>
      </w:r>
      <w:r w:rsidRPr="001561CA">
        <w:rPr>
          <w:sz w:val="18"/>
          <w:szCs w:val="18"/>
        </w:rPr>
        <w:t xml:space="preserve"> Cotizar 500 horas para desarrollo de ajustes a la solución (mantenimiento evolutivo y correctivo), a consumir durante un período de un año. No todos los meses se requerirá la misma cantidad de horas. Para el consumo de estas horas se trabajará en un </w:t>
      </w:r>
      <w:proofErr w:type="spellStart"/>
      <w:r w:rsidRPr="001561CA">
        <w:rPr>
          <w:sz w:val="18"/>
          <w:szCs w:val="18"/>
        </w:rPr>
        <w:t>backlog</w:t>
      </w:r>
      <w:proofErr w:type="spellEnd"/>
      <w:r w:rsidRPr="001561CA">
        <w:rPr>
          <w:sz w:val="18"/>
          <w:szCs w:val="18"/>
        </w:rPr>
        <w:t xml:space="preserve"> (administrado en forma conjunta) que servirá para la planificación del uso de estas horas. Estas horas deberán ser de Analista/Desarrollador Senior.</w:t>
      </w:r>
    </w:p>
    <w:p w:rsidR="001561CA" w:rsidRPr="001561CA" w:rsidRDefault="001561CA" w:rsidP="001561CA">
      <w:pPr>
        <w:pStyle w:val="Textonotapie"/>
        <w:rPr>
          <w:sz w:val="18"/>
          <w:szCs w:val="18"/>
        </w:rPr>
      </w:pPr>
    </w:p>
  </w:footnote>
  <w:footnote w:id="3">
    <w:p w:rsidR="001561CA" w:rsidRPr="001561CA" w:rsidRDefault="001561CA" w:rsidP="001561CA">
      <w:pPr>
        <w:pStyle w:val="Textonotapie"/>
        <w:rPr>
          <w:sz w:val="18"/>
          <w:szCs w:val="18"/>
        </w:rPr>
      </w:pPr>
      <w:r w:rsidRPr="001561CA">
        <w:rPr>
          <w:rStyle w:val="Refdenotaalpie"/>
          <w:sz w:val="18"/>
          <w:szCs w:val="18"/>
        </w:rPr>
        <w:footnoteRef/>
      </w:r>
      <w:r w:rsidRPr="001561CA">
        <w:rPr>
          <w:sz w:val="18"/>
          <w:szCs w:val="18"/>
        </w:rPr>
        <w:t xml:space="preserve"> Cotizar 500 horas adicionales opcionales para contemplar posibles desvíos. Las mismas podrán no consumirse o consumirse parcialmente. Estas horas deberán ser de Analista/Desarrollador Senior.</w:t>
      </w:r>
    </w:p>
    <w:p w:rsidR="001561CA" w:rsidRDefault="001561CA" w:rsidP="001561CA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8DA1EC0"/>
    <w:multiLevelType w:val="hybridMultilevel"/>
    <w:tmpl w:val="E722893A"/>
    <w:lvl w:ilvl="0" w:tplc="0550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0E26E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3A60F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EE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21E0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508C9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C5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245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D2E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CA"/>
    <w:rsid w:val="00006881"/>
    <w:rsid w:val="001561CA"/>
    <w:rsid w:val="001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0908"/>
  <w15:chartTrackingRefBased/>
  <w15:docId w15:val="{DCCEADF8-B3E4-4852-93D9-327D07E6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561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61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56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Peiro Aristegui</dc:creator>
  <cp:keywords/>
  <dc:description/>
  <cp:lastModifiedBy>Melina Peiro Aristegui</cp:lastModifiedBy>
  <cp:revision>1</cp:revision>
  <dcterms:created xsi:type="dcterms:W3CDTF">2019-10-09T15:10:00Z</dcterms:created>
  <dcterms:modified xsi:type="dcterms:W3CDTF">2019-10-09T15:15:00Z</dcterms:modified>
</cp:coreProperties>
</file>